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9BC30BD" w14:textId="77777777" w:rsidTr="0041512A">
        <w:tc>
          <w:tcPr>
            <w:tcW w:w="2263" w:type="dxa"/>
          </w:tcPr>
          <w:p w14:paraId="77165785" w14:textId="70F7C157" w:rsidR="0041512A" w:rsidRDefault="00E17A14" w:rsidP="0041512A">
            <w:pPr>
              <w:spacing w:before="120" w:after="120"/>
            </w:pPr>
            <w:r>
              <w:fldChar w:fldCharType="begin"/>
            </w:r>
            <w:r>
              <w:instrText>HYPERLINK "C:\\Walter\\sportello unico\\Progetto PUC\\PROCEDIMENTI\\PROCEDIMENTI.docx"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2F289369" w14:textId="77777777" w:rsidR="0041512A" w:rsidRDefault="003514C2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Piscine</w:t>
            </w:r>
          </w:p>
        </w:tc>
        <w:tc>
          <w:tcPr>
            <w:tcW w:w="1979" w:type="dxa"/>
          </w:tcPr>
          <w:p w14:paraId="42ABF3FE" w14:textId="0BFDCCE4" w:rsidR="0041512A" w:rsidRPr="0041512A" w:rsidRDefault="00E779B5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2F12F8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29C22661" w14:textId="77777777" w:rsidTr="0041512A">
        <w:tc>
          <w:tcPr>
            <w:tcW w:w="9629" w:type="dxa"/>
            <w:gridSpan w:val="3"/>
          </w:tcPr>
          <w:p w14:paraId="23A697DB" w14:textId="2199AA9D" w:rsidR="00F33A15" w:rsidRPr="007331C5" w:rsidRDefault="007331C5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331C5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91C7431" w14:textId="7738DCB9" w:rsidR="003514C2" w:rsidRPr="00AE3B16" w:rsidRDefault="003514C2" w:rsidP="003514C2">
            <w:pPr>
              <w:pStyle w:val="Rientrocorpodeltesto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E3B16">
              <w:rPr>
                <w:color w:val="auto"/>
                <w:sz w:val="20"/>
                <w:szCs w:val="20"/>
                <w:u w:val="none"/>
              </w:rPr>
              <w:t xml:space="preserve">Per </w:t>
            </w:r>
            <w:r w:rsidRPr="007331C5">
              <w:rPr>
                <w:b/>
                <w:bCs/>
                <w:color w:val="FF0000"/>
                <w:sz w:val="20"/>
                <w:szCs w:val="20"/>
                <w:u w:val="none"/>
              </w:rPr>
              <w:t>piscina pubblica senza spettatori</w:t>
            </w:r>
            <w:r w:rsidRPr="007331C5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AE3B16">
              <w:rPr>
                <w:color w:val="auto"/>
                <w:sz w:val="20"/>
                <w:szCs w:val="20"/>
                <w:u w:val="none"/>
              </w:rPr>
              <w:t xml:space="preserve">si intende il complesso natatorio al quale si accede, per propria attività sportiva e rilassante, mediante il pagamento di un biglietto anche se configurato come tessera associativa. La configurazione del complesso </w:t>
            </w:r>
            <w:r w:rsidR="008724A0" w:rsidRPr="00AE3B16">
              <w:rPr>
                <w:color w:val="auto"/>
                <w:sz w:val="20"/>
                <w:szCs w:val="20"/>
                <w:u w:val="none"/>
              </w:rPr>
              <w:t>è posta</w:t>
            </w:r>
            <w:r w:rsidRPr="00AE3B16">
              <w:rPr>
                <w:color w:val="auto"/>
                <w:sz w:val="20"/>
                <w:szCs w:val="20"/>
                <w:u w:val="none"/>
              </w:rPr>
              <w:t xml:space="preserve"> in analogia con le palestre fitness per il cui insediamento si deve obbligatoriamente osservare la programmazione economica-commerciale del PGT.</w:t>
            </w:r>
          </w:p>
          <w:p w14:paraId="63A24827" w14:textId="77777777" w:rsidR="003514C2" w:rsidRPr="00AE3B16" w:rsidRDefault="003514C2" w:rsidP="003514C2">
            <w:pPr>
              <w:pStyle w:val="Rientrocorpodeltesto"/>
              <w:spacing w:after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E3B16">
              <w:rPr>
                <w:color w:val="auto"/>
                <w:sz w:val="20"/>
                <w:szCs w:val="20"/>
                <w:u w:val="none"/>
              </w:rPr>
              <w:t xml:space="preserve">Per </w:t>
            </w:r>
            <w:r w:rsidRPr="007331C5">
              <w:rPr>
                <w:b/>
                <w:bCs/>
                <w:color w:val="FF0000"/>
                <w:sz w:val="20"/>
                <w:szCs w:val="20"/>
                <w:u w:val="none"/>
              </w:rPr>
              <w:t>piscina sportiva con spettatori</w:t>
            </w:r>
            <w:r w:rsidRPr="007331C5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AE3B16">
              <w:rPr>
                <w:color w:val="auto"/>
                <w:sz w:val="20"/>
                <w:szCs w:val="20"/>
                <w:u w:val="none"/>
              </w:rPr>
              <w:t>si intende un complesso attrezzat</w:t>
            </w:r>
            <w:r>
              <w:rPr>
                <w:color w:val="auto"/>
                <w:sz w:val="20"/>
                <w:szCs w:val="20"/>
                <w:u w:val="none"/>
              </w:rPr>
              <w:t>o</w:t>
            </w:r>
            <w:r w:rsidRPr="00AE3B16">
              <w:rPr>
                <w:color w:val="auto"/>
                <w:sz w:val="20"/>
                <w:szCs w:val="20"/>
                <w:u w:val="none"/>
              </w:rPr>
              <w:t xml:space="preserve"> per l’attività agonistica sportiva con spazi riservati agli spettatori i quali accedono mediante il pagamento di un biglietto anche se configurato come tessera associativa. Questa attività si configura come </w:t>
            </w:r>
            <w:hyperlink r:id="rId6" w:history="1">
              <w:r w:rsidRPr="00AE3B16">
                <w:rPr>
                  <w:rStyle w:val="Collegamentoipertestuale"/>
                  <w:b/>
                  <w:color w:val="auto"/>
                  <w:sz w:val="20"/>
                  <w:szCs w:val="20"/>
                  <w:u w:val="none"/>
                </w:rPr>
                <w:t xml:space="preserve">locale di pubblico spettacolo </w:t>
              </w:r>
            </w:hyperlink>
            <w:r w:rsidRPr="00AE3B16">
              <w:rPr>
                <w:color w:val="auto"/>
                <w:sz w:val="20"/>
                <w:szCs w:val="20"/>
                <w:u w:val="none"/>
              </w:rPr>
              <w:t>per il cui insediamento si deve obbligatoriamente osservare la programmazione economica-commerciale del PGT.</w:t>
            </w:r>
          </w:p>
          <w:p w14:paraId="0F015776" w14:textId="77777777" w:rsidR="00F44E11" w:rsidRPr="007331C5" w:rsidRDefault="00F44E11" w:rsidP="00F44E11">
            <w:pPr>
              <w:ind w:left="164"/>
            </w:pPr>
          </w:p>
          <w:p w14:paraId="6B1631D5" w14:textId="77777777" w:rsidR="007331C5" w:rsidRPr="00AB4C12" w:rsidRDefault="007331C5" w:rsidP="007331C5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4D82A9AC" w14:textId="2F5829E6" w:rsidR="007331C5" w:rsidRPr="00D26E59" w:rsidRDefault="00D26E59" w:rsidP="007331C5">
            <w:pPr>
              <w:pStyle w:val="Paragrafoelenco"/>
              <w:numPr>
                <w:ilvl w:val="0"/>
                <w:numId w:val="20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779B5">
              <w:rPr>
                <w:b/>
                <w:sz w:val="24"/>
                <w:szCs w:val="24"/>
              </w:rPr>
              <w:instrText>HYPERLINK "../../PROGRAMMAZIONE/AREE.docx"</w:instrText>
            </w:r>
            <w:r w:rsidR="00E779B5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31C5" w:rsidRPr="00D26E59">
              <w:rPr>
                <w:rStyle w:val="Collegamentoipertestuale"/>
                <w:b/>
                <w:sz w:val="24"/>
                <w:szCs w:val="24"/>
              </w:rPr>
              <w:t>Programmazione economica-comme</w:t>
            </w:r>
            <w:r w:rsidR="007331C5" w:rsidRPr="00D26E59">
              <w:rPr>
                <w:rStyle w:val="Collegamentoipertestuale"/>
                <w:b/>
                <w:sz w:val="24"/>
                <w:szCs w:val="24"/>
              </w:rPr>
              <w:t>r</w:t>
            </w:r>
            <w:r w:rsidR="007331C5" w:rsidRPr="00D26E59">
              <w:rPr>
                <w:rStyle w:val="Collegamentoipertestuale"/>
                <w:b/>
                <w:sz w:val="24"/>
                <w:szCs w:val="24"/>
              </w:rPr>
              <w:t>ciale del PGT</w:t>
            </w:r>
          </w:p>
          <w:p w14:paraId="28B3F78A" w14:textId="0FE97E58" w:rsidR="007331C5" w:rsidRPr="0031611B" w:rsidRDefault="00D26E59" w:rsidP="007331C5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B2C2A9F" w14:textId="4D5B2913" w:rsidR="007331C5" w:rsidRPr="000A1FBF" w:rsidRDefault="007331C5" w:rsidP="007331C5">
            <w:pPr>
              <w:pStyle w:val="Paragrafoelenco"/>
              <w:numPr>
                <w:ilvl w:val="0"/>
                <w:numId w:val="20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0B0A24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086BE62A" w14:textId="77777777" w:rsidR="007331C5" w:rsidRPr="00F73D96" w:rsidRDefault="007331C5" w:rsidP="007331C5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E6988EA" w14:textId="2B4F28C3" w:rsidR="007331C5" w:rsidRPr="00720A14" w:rsidRDefault="007331C5" w:rsidP="007331C5">
            <w:pPr>
              <w:pStyle w:val="Paragrafoelenco"/>
              <w:numPr>
                <w:ilvl w:val="0"/>
                <w:numId w:val="20"/>
              </w:numPr>
              <w:spacing w:after="120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0B0A24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20A14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21B64091" w14:textId="77777777" w:rsidR="007331C5" w:rsidRPr="0031611B" w:rsidRDefault="007331C5" w:rsidP="007331C5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6B5403A0" w14:textId="77C14697" w:rsidR="007331C5" w:rsidRPr="007331C5" w:rsidRDefault="007331C5" w:rsidP="007331C5">
            <w:pPr>
              <w:pStyle w:val="Paragrafoelenco"/>
              <w:widowControl w:val="0"/>
              <w:numPr>
                <w:ilvl w:val="0"/>
                <w:numId w:val="20"/>
              </w:numPr>
              <w:spacing w:after="120"/>
              <w:ind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7331C5"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Nell’esercizio, in qualsiasi forma, di un’attività di piscina, anche se effettuato nei confronti di una cerchia determinata di persone, deve essere garantita </w:t>
            </w:r>
            <w:r w:rsidRPr="007331C5">
              <w:rPr>
                <w:color w:val="auto"/>
                <w:sz w:val="20"/>
                <w:szCs w:val="20"/>
                <w:u w:val="none"/>
              </w:rPr>
              <w:t xml:space="preserve">la vigilanza da parte di personale abilitato (ISEF) </w:t>
            </w:r>
            <w:hyperlink r:id="rId7" w:history="1">
              <w:r w:rsidRPr="007331C5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– </w:t>
              </w:r>
              <w:r w:rsidRPr="007331C5">
                <w:rPr>
                  <w:rStyle w:val="Collegamentoipertestuale"/>
                  <w:b/>
                  <w:sz w:val="20"/>
                  <w:szCs w:val="20"/>
                  <w:u w:val="none"/>
                </w:rPr>
                <w:t>Art. 9 LR n. 26/2014.</w:t>
              </w:r>
            </w:hyperlink>
          </w:p>
          <w:p w14:paraId="7A07EA71" w14:textId="77777777" w:rsidR="007331C5" w:rsidRPr="007331C5" w:rsidRDefault="007331C5" w:rsidP="007331C5">
            <w:pPr>
              <w:pStyle w:val="Paragrafoelenco"/>
              <w:spacing w:before="120" w:after="120" w:line="259" w:lineRule="auto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</w:p>
          <w:p w14:paraId="67D7C00F" w14:textId="6295557F" w:rsidR="007331C5" w:rsidRPr="000B0A24" w:rsidRDefault="000B0A24" w:rsidP="007331C5">
            <w:pPr>
              <w:pStyle w:val="Paragrafoelenco"/>
              <w:numPr>
                <w:ilvl w:val="0"/>
                <w:numId w:val="20"/>
              </w:numPr>
              <w:spacing w:after="120" w:line="259" w:lineRule="auto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"../../INCENDIO/PREVENZIONE%20INCENDI.docx"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1C5" w:rsidRPr="000B0A24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5AEFE0EE" w14:textId="130337DF" w:rsidR="007331C5" w:rsidRPr="007331C5" w:rsidRDefault="000B0A24" w:rsidP="007331C5">
            <w:pPr>
              <w:pStyle w:val="Paragrafoelenco"/>
              <w:ind w:left="524"/>
              <w:jc w:val="both"/>
              <w:rPr>
                <w:rFonts w:eastAsia="Times New Roman"/>
                <w:b/>
                <w:color w:val="FF0000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DBBC041" w14:textId="77777777" w:rsidR="00651349" w:rsidRPr="007331C5" w:rsidRDefault="002B6C24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7331C5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56CB61DE" w14:textId="77777777" w:rsidR="00764B7D" w:rsidRPr="00764B7D" w:rsidRDefault="00764B7D" w:rsidP="00764B7D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764B7D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attivare una piscina pubblica </w:t>
            </w:r>
            <w:r w:rsidRPr="00764B7D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(con o senza presenza di pubblico)</w:t>
            </w:r>
            <w:r w:rsidRPr="00764B7D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deve munirsi di apposita licenza, prevista dall’art. 68 del TULPS, presentando al SUAP un’istanza.</w:t>
            </w:r>
          </w:p>
          <w:p w14:paraId="53765CFC" w14:textId="66DFCF31" w:rsidR="00764B7D" w:rsidRPr="00764B7D" w:rsidRDefault="00764B7D" w:rsidP="00764B7D">
            <w:pPr>
              <w:spacing w:before="30"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richiedere </w:t>
            </w:r>
            <w:r w:rsidRPr="00764B7D">
              <w:rPr>
                <w:color w:val="auto"/>
                <w:sz w:val="20"/>
                <w:szCs w:val="20"/>
                <w:u w:val="none"/>
              </w:rPr>
              <w:t xml:space="preserve">alla Commissione Comunale di Vigilanza Locali di Pubblico Spettacolo la verifica dell’agibilità dell’impianto occorre presentare </w:t>
            </w:r>
            <w:r w:rsidRPr="00764B7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 SUAP apposita richiesta di </w:t>
            </w:r>
            <w:hyperlink r:id="rId8" w:history="1">
              <w:r w:rsidRPr="007331C5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parere preventivo</w:t>
              </w:r>
            </w:hyperlink>
            <w:r w:rsidRPr="007331C5">
              <w:rPr>
                <w:rFonts w:eastAsia="Times New Roman"/>
                <w:b/>
                <w:bCs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Pr="00764B7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ammissibilità urbanistica</w:t>
            </w:r>
            <w:r w:rsidRPr="00764B7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da sottoporre all’esame della </w:t>
            </w:r>
            <w:r w:rsidRPr="007331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CCVLPS</w:t>
            </w:r>
            <w:r w:rsidRPr="007331C5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Pr="00764B7D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  </w:t>
            </w:r>
          </w:p>
          <w:p w14:paraId="7EDA197E" w14:textId="39149A6F" w:rsidR="00764B7D" w:rsidRPr="00764B7D" w:rsidRDefault="00764B7D" w:rsidP="00764B7D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 nulla osta acquisito,</w:t>
            </w:r>
            <w:r w:rsidRPr="00764B7D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l’istanza </w:t>
            </w: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deve essere</w:t>
            </w:r>
            <w:r w:rsidRPr="00764B7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764B7D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9" w:history="1">
              <w:r w:rsidR="00395C5A">
                <w:t xml:space="preserve"> </w:t>
              </w:r>
              <w:hyperlink r:id="rId10" w:history="1">
                <w:r w:rsidR="00395C5A" w:rsidRPr="00395C5A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>Impresainungiorno.gov.it</w:t>
                </w:r>
                <w:r w:rsidR="00395C5A">
                  <w:rPr>
                    <w:rStyle w:val="Collegamentoipertestuale"/>
                    <w:color w:val="auto"/>
                    <w:u w:val="none"/>
                  </w:rPr>
                  <w:t xml:space="preserve">   </w:t>
                </w:r>
              </w:hyperlink>
              <w:r w:rsidRPr="00764B7D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764B7D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010F0D6" w14:textId="28037F12" w:rsidR="00764B7D" w:rsidRPr="00764B7D" w:rsidRDefault="00764B7D" w:rsidP="00764B7D">
            <w:pPr>
              <w:spacing w:before="3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64B7D">
              <w:rPr>
                <w:color w:val="auto"/>
                <w:sz w:val="20"/>
                <w:szCs w:val="20"/>
                <w:u w:val="none"/>
              </w:rPr>
              <w:t>Ad accesso avvenuto, procedere selezionando</w:t>
            </w:r>
            <w:r w:rsidR="007331C5">
              <w:rPr>
                <w:color w:val="auto"/>
                <w:sz w:val="20"/>
                <w:szCs w:val="20"/>
                <w:u w:val="none"/>
              </w:rPr>
              <w:t>:</w:t>
            </w:r>
            <w:r w:rsidRPr="00764B7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BD5B92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7331C5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764B7D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BD5B92">
              <w:rPr>
                <w:b/>
                <w:color w:val="auto"/>
                <w:sz w:val="20"/>
                <w:szCs w:val="20"/>
                <w:u w:val="none"/>
              </w:rPr>
              <w:t>Attività sportive</w:t>
            </w:r>
            <w:r w:rsidRPr="00764B7D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Pr="00764B7D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Impianto natatorio destinato ad un’utenza pubblica</w:t>
            </w: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Pr="00764B7D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764B7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64B7D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764B7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64B7D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764B7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764B7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B143B8F" w14:textId="77777777" w:rsidR="007331C5" w:rsidRDefault="007331C5" w:rsidP="007331C5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4D77FE00" w14:textId="191F1AE1" w:rsidR="00764B7D" w:rsidRPr="000B0A24" w:rsidRDefault="00764B7D" w:rsidP="00A80429">
            <w:pPr>
              <w:spacing w:after="24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764B7D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</w:t>
            </w:r>
            <w:r w:rsidRPr="00764B7D">
              <w:rPr>
                <w:sz w:val="20"/>
                <w:szCs w:val="20"/>
                <w:u w:val="none"/>
              </w:rPr>
              <w:t xml:space="preserve">: </w:t>
            </w:r>
            <w:r w:rsidR="000B0A24">
              <w:rPr>
                <w:b/>
                <w:sz w:val="20"/>
                <w:szCs w:val="20"/>
              </w:rPr>
              <w:fldChar w:fldCharType="begin"/>
            </w:r>
            <w:r w:rsidR="000B0A24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0B0A24">
              <w:rPr>
                <w:b/>
                <w:sz w:val="20"/>
                <w:szCs w:val="20"/>
              </w:rPr>
              <w:fldChar w:fldCharType="separate"/>
            </w:r>
            <w:r w:rsidRPr="000B0A24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16501FD2" w14:textId="4A7E2E40" w:rsidR="007331C5" w:rsidRPr="0056509F" w:rsidRDefault="000B0A24" w:rsidP="00A80429">
            <w:pPr>
              <w:spacing w:after="240"/>
              <w:ind w:left="164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7331C5"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7331C5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="007331C5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 w:rsid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="007331C5"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 w:rsidR="007331C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="007331C5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1" w:history="1">
              <w:r w:rsidR="007331C5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 w:rsidR="007331C5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="007331C5"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="007331C5" w:rsidRPr="0016697F">
                <w:rPr>
                  <w:rStyle w:val="Collegamentoipertestuale"/>
                  <w:u w:val="none"/>
                </w:rPr>
                <w:t xml:space="preserve"> </w:t>
              </w:r>
              <w:r w:rsidR="007331C5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="007331C5"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="007331C5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="007331C5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1AE181E0" w14:textId="77777777" w:rsidR="007331C5" w:rsidRDefault="007331C5" w:rsidP="007331C5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584025E5" w14:textId="77777777" w:rsidR="007331C5" w:rsidRPr="002F3FF3" w:rsidRDefault="007331C5" w:rsidP="007331C5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063AF7C4" w14:textId="7F586332" w:rsidR="00A80429" w:rsidRPr="00A80429" w:rsidRDefault="00E779B5" w:rsidP="007331C5">
            <w:pPr>
              <w:ind w:left="164" w:right="312"/>
              <w:jc w:val="both"/>
              <w:rPr>
                <w:b/>
                <w:bCs/>
              </w:rPr>
            </w:pPr>
            <w:hyperlink r:id="rId13" w:history="1">
              <w:r w:rsidR="00A80429" w:rsidRPr="00A80429">
                <w:rPr>
                  <w:rStyle w:val="Collegamentoipertestuale"/>
                  <w:b/>
                  <w:bCs/>
                </w:rPr>
                <w:t>Alle</w:t>
              </w:r>
              <w:r w:rsidR="00A80429" w:rsidRPr="00A80429">
                <w:rPr>
                  <w:rStyle w:val="Collegamentoipertestuale"/>
                  <w:b/>
                  <w:bCs/>
                </w:rPr>
                <w:t>g</w:t>
              </w:r>
              <w:r w:rsidR="00A80429" w:rsidRPr="00A80429">
                <w:rPr>
                  <w:rStyle w:val="Collegamentoipertestuale"/>
                  <w:b/>
                  <w:bCs/>
                </w:rPr>
                <w:t>ati</w:t>
              </w:r>
            </w:hyperlink>
          </w:p>
          <w:p w14:paraId="3D186E63" w14:textId="77777777" w:rsidR="006276B8" w:rsidRDefault="006276B8" w:rsidP="007331C5">
            <w:pPr>
              <w:ind w:left="164" w:right="312"/>
              <w:jc w:val="both"/>
            </w:pPr>
          </w:p>
          <w:p w14:paraId="2FFAB2E3" w14:textId="3F69135B" w:rsidR="007331C5" w:rsidRPr="00744B7C" w:rsidRDefault="00E779B5" w:rsidP="007331C5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7331C5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</w:t>
              </w:r>
              <w:r w:rsidR="007331C5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O</w:t>
              </w:r>
            </w:hyperlink>
            <w:r w:rsidR="007331C5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7331C5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3FAD6922" w14:textId="77777777" w:rsidR="007331C5" w:rsidRDefault="007331C5" w:rsidP="007331C5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67FBA7A" w14:textId="77777777" w:rsidR="00E779B5" w:rsidRDefault="00E779B5" w:rsidP="00A8042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6E93673" w14:textId="3FE0C12D" w:rsidR="00A80429" w:rsidRPr="00A960D3" w:rsidRDefault="00A80429" w:rsidP="00A8042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E779B5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 w:rsidR="00E779B5">
              <w:rPr>
                <w:rStyle w:val="Collegamentoipertestuale"/>
                <w:b/>
                <w:bCs/>
                <w:color w:val="C00000"/>
                <w:u w:val="none"/>
              </w:rPr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4BDAB93C" w14:textId="77777777" w:rsidR="00A80429" w:rsidRPr="007B1A96" w:rsidRDefault="00A80429" w:rsidP="00A80429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7B1A96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21011C60" w14:textId="77777777" w:rsidR="00A80429" w:rsidRPr="00065666" w:rsidRDefault="00A80429" w:rsidP="00A8042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u w:val="none"/>
              </w:rPr>
            </w:pPr>
          </w:p>
          <w:bookmarkStart w:id="0" w:name="_Hlk67046091"/>
          <w:p w14:paraId="42AA3FBA" w14:textId="7B0FE75C" w:rsidR="00A80429" w:rsidRDefault="00A80429" w:rsidP="00A80429">
            <w:pPr>
              <w:pStyle w:val="Paragrafoelenco"/>
              <w:spacing w:after="120"/>
              <w:ind w:left="164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C00000"/>
              </w:rPr>
              <w:fldChar w:fldCharType="begin"/>
            </w:r>
            <w:r w:rsidR="00BE7E08">
              <w:rPr>
                <w:b/>
                <w:color w:val="C00000"/>
              </w:rPr>
              <w:instrText>HYPERLINK "Definizioni/21PA%20Tempistica%20CCVLPS.pdf"</w:instrText>
            </w:r>
            <w:r>
              <w:rPr>
                <w:b/>
                <w:color w:val="C00000"/>
              </w:rPr>
              <w:fldChar w:fldCharType="separate"/>
            </w:r>
            <w:r w:rsidRPr="00751C4B">
              <w:rPr>
                <w:rStyle w:val="Collegamentoipertestuale"/>
                <w:b/>
              </w:rPr>
              <w:t>Tempistic</w:t>
            </w:r>
            <w:r>
              <w:rPr>
                <w:rStyle w:val="Collegamentoipertestuale"/>
                <w:b/>
              </w:rPr>
              <w:t>a</w:t>
            </w:r>
            <w:r>
              <w:rPr>
                <w:rStyle w:val="Collegamentoipertestuale"/>
                <w:b/>
              </w:rPr>
              <w:t xml:space="preserve"> </w:t>
            </w:r>
            <w:r>
              <w:rPr>
                <w:rStyle w:val="Collegamentoipertestuale"/>
                <w:b/>
              </w:rPr>
              <w:t>CCVLPS</w:t>
            </w:r>
            <w:r>
              <w:rPr>
                <w:b/>
                <w:color w:val="C00000"/>
              </w:rPr>
              <w:fldChar w:fldCharType="end"/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bookmarkEnd w:id="0"/>
          <w:p w14:paraId="510AC6E3" w14:textId="30A53C7A" w:rsidR="000B0A24" w:rsidRPr="00A80429" w:rsidRDefault="00830699" w:rsidP="00A80429">
            <w:pPr>
              <w:ind w:left="164" w:right="312"/>
              <w:jc w:val="both"/>
              <w:rPr>
                <w:b/>
                <w:bCs/>
                <w:color w:val="auto"/>
              </w:rPr>
            </w:pPr>
            <w:r w:rsidRPr="00A80429">
              <w:rPr>
                <w:b/>
                <w:bCs/>
                <w:color w:val="auto"/>
                <w:sz w:val="20"/>
                <w:szCs w:val="20"/>
                <w:u w:val="none"/>
              </w:rPr>
              <w:t>Il Responsabile SUAP rilascia le licenze per l’esercizio di piscine pubbliche</w:t>
            </w:r>
            <w:r w:rsidR="00A80429" w:rsidRPr="00A8042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A8042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previo parere del servizio Igiene Pubblica dell’A.T.S.  </w:t>
            </w:r>
          </w:p>
          <w:p w14:paraId="2F3759F2" w14:textId="75FABBDC" w:rsidR="007331C5" w:rsidRDefault="007331C5" w:rsidP="00830699">
            <w:pPr>
              <w:pStyle w:val="Rientrocorpodeltesto"/>
              <w:spacing w:after="0"/>
              <w:ind w:left="164"/>
              <w:jc w:val="both"/>
            </w:pPr>
          </w:p>
          <w:p w14:paraId="44229CC4" w14:textId="71B03053" w:rsidR="001C68CE" w:rsidRPr="00945B26" w:rsidRDefault="00E779B5" w:rsidP="001C68CE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7331C5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7331C5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7331C5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331C5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331C5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D26E59" w:rsidRPr="009D241B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D26E59" w:rsidRPr="009D241B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D26E59" w:rsidRPr="009D241B">
                <w:rPr>
                  <w:rStyle w:val="Collegamentoipertestuale"/>
                  <w:b/>
                  <w:sz w:val="20"/>
                  <w:szCs w:val="20"/>
                </w:rPr>
                <w:t>te 5^</w:t>
              </w:r>
            </w:hyperlink>
            <w:r w:rsidR="00D26E59" w:rsidRPr="00945B26">
              <w:rPr>
                <w:color w:val="0000FF"/>
                <w:sz w:val="20"/>
                <w:szCs w:val="20"/>
              </w:rPr>
              <w:t xml:space="preserve"> </w:t>
            </w:r>
            <w:r w:rsidR="001C68CE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1C68CE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1868969B" w14:textId="7EE4DF7E" w:rsidR="007331C5" w:rsidRPr="00A522FF" w:rsidRDefault="007331C5" w:rsidP="007331C5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7F6666FC" w14:textId="77777777" w:rsidR="007331C5" w:rsidRPr="0090382A" w:rsidRDefault="007331C5" w:rsidP="007331C5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1689D7F9" w14:textId="77777777" w:rsidR="007331C5" w:rsidRDefault="007331C5" w:rsidP="007331C5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17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  <w:p w14:paraId="0D20434A" w14:textId="08BE60C6" w:rsidR="007331C5" w:rsidRPr="0041512A" w:rsidRDefault="007331C5" w:rsidP="007331C5">
            <w:pPr>
              <w:pStyle w:val="Paragrafoelenco"/>
              <w:tabs>
                <w:tab w:val="left" w:pos="731"/>
              </w:tabs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8472F6E" w14:textId="77777777" w:rsidR="00342D58" w:rsidRDefault="00342D58">
      <w:pPr>
        <w:rPr>
          <w:b/>
        </w:rPr>
      </w:pPr>
    </w:p>
    <w:p w14:paraId="7DF360C7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454"/>
    <w:multiLevelType w:val="hybridMultilevel"/>
    <w:tmpl w:val="8B9A125A"/>
    <w:lvl w:ilvl="0" w:tplc="61EC31C6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EC4"/>
    <w:multiLevelType w:val="hybridMultilevel"/>
    <w:tmpl w:val="5748E72A"/>
    <w:lvl w:ilvl="0" w:tplc="C65AF62A">
      <w:start w:val="1"/>
      <w:numFmt w:val="decimal"/>
      <w:lvlText w:val="%1."/>
      <w:lvlJc w:val="left"/>
      <w:pPr>
        <w:ind w:left="1451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53F7"/>
    <w:multiLevelType w:val="hybridMultilevel"/>
    <w:tmpl w:val="EEB2DF50"/>
    <w:lvl w:ilvl="0" w:tplc="7C287214">
      <w:start w:val="5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9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73F3"/>
    <w:multiLevelType w:val="hybridMultilevel"/>
    <w:tmpl w:val="0308B7F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8"/>
  </w:num>
  <w:num w:numId="5">
    <w:abstractNumId w:val="1"/>
  </w:num>
  <w:num w:numId="6">
    <w:abstractNumId w:val="16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7"/>
  </w:num>
  <w:num w:numId="15">
    <w:abstractNumId w:val="12"/>
  </w:num>
  <w:num w:numId="16">
    <w:abstractNumId w:val="7"/>
  </w:num>
  <w:num w:numId="17">
    <w:abstractNumId w:val="19"/>
  </w:num>
  <w:num w:numId="18">
    <w:abstractNumId w:val="5"/>
  </w:num>
  <w:num w:numId="19">
    <w:abstractNumId w:val="14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2CAB"/>
    <w:rsid w:val="0003034E"/>
    <w:rsid w:val="00071B68"/>
    <w:rsid w:val="000B0A24"/>
    <w:rsid w:val="000E4B29"/>
    <w:rsid w:val="000E4B7E"/>
    <w:rsid w:val="000F3ADF"/>
    <w:rsid w:val="0010156F"/>
    <w:rsid w:val="0010318E"/>
    <w:rsid w:val="00112873"/>
    <w:rsid w:val="00117F1E"/>
    <w:rsid w:val="0012159E"/>
    <w:rsid w:val="001A1A8E"/>
    <w:rsid w:val="001C68CE"/>
    <w:rsid w:val="001F06A1"/>
    <w:rsid w:val="002210DE"/>
    <w:rsid w:val="0023487B"/>
    <w:rsid w:val="00237016"/>
    <w:rsid w:val="00276654"/>
    <w:rsid w:val="002A5D7C"/>
    <w:rsid w:val="002A6285"/>
    <w:rsid w:val="002A77E8"/>
    <w:rsid w:val="002B375D"/>
    <w:rsid w:val="002B6C24"/>
    <w:rsid w:val="002F12F8"/>
    <w:rsid w:val="00342D58"/>
    <w:rsid w:val="003514C2"/>
    <w:rsid w:val="00395C5A"/>
    <w:rsid w:val="003A4A32"/>
    <w:rsid w:val="003C5FBA"/>
    <w:rsid w:val="0041512A"/>
    <w:rsid w:val="004257E1"/>
    <w:rsid w:val="0044342C"/>
    <w:rsid w:val="0045341A"/>
    <w:rsid w:val="004704B5"/>
    <w:rsid w:val="00493BD0"/>
    <w:rsid w:val="004A131F"/>
    <w:rsid w:val="004B3C68"/>
    <w:rsid w:val="004B7DB4"/>
    <w:rsid w:val="004F3CF0"/>
    <w:rsid w:val="004F59C5"/>
    <w:rsid w:val="004F667B"/>
    <w:rsid w:val="00506E58"/>
    <w:rsid w:val="005930C1"/>
    <w:rsid w:val="005C01FD"/>
    <w:rsid w:val="005C68B2"/>
    <w:rsid w:val="005C720B"/>
    <w:rsid w:val="005D002C"/>
    <w:rsid w:val="005E5880"/>
    <w:rsid w:val="00621A5C"/>
    <w:rsid w:val="00621E64"/>
    <w:rsid w:val="006276B8"/>
    <w:rsid w:val="00640813"/>
    <w:rsid w:val="00651349"/>
    <w:rsid w:val="00651378"/>
    <w:rsid w:val="00692827"/>
    <w:rsid w:val="00694BB5"/>
    <w:rsid w:val="006B29D2"/>
    <w:rsid w:val="006B3A13"/>
    <w:rsid w:val="006C7151"/>
    <w:rsid w:val="006E08B5"/>
    <w:rsid w:val="006E2A43"/>
    <w:rsid w:val="00705665"/>
    <w:rsid w:val="00707E83"/>
    <w:rsid w:val="00714EBD"/>
    <w:rsid w:val="007331C5"/>
    <w:rsid w:val="00737DA2"/>
    <w:rsid w:val="00746376"/>
    <w:rsid w:val="00757EC8"/>
    <w:rsid w:val="0076013E"/>
    <w:rsid w:val="00764B7D"/>
    <w:rsid w:val="007D29FA"/>
    <w:rsid w:val="0082478D"/>
    <w:rsid w:val="00830699"/>
    <w:rsid w:val="008724A0"/>
    <w:rsid w:val="00872D0F"/>
    <w:rsid w:val="008756FA"/>
    <w:rsid w:val="00897F79"/>
    <w:rsid w:val="008F3241"/>
    <w:rsid w:val="009025A0"/>
    <w:rsid w:val="0090382A"/>
    <w:rsid w:val="00945B26"/>
    <w:rsid w:val="009A4645"/>
    <w:rsid w:val="009C0F33"/>
    <w:rsid w:val="009D00A5"/>
    <w:rsid w:val="00A06B50"/>
    <w:rsid w:val="00A123BB"/>
    <w:rsid w:val="00A80429"/>
    <w:rsid w:val="00A84893"/>
    <w:rsid w:val="00B0731C"/>
    <w:rsid w:val="00B66F7C"/>
    <w:rsid w:val="00BD5B92"/>
    <w:rsid w:val="00BE7E08"/>
    <w:rsid w:val="00BF42AE"/>
    <w:rsid w:val="00C459E8"/>
    <w:rsid w:val="00C75D34"/>
    <w:rsid w:val="00C9233E"/>
    <w:rsid w:val="00CD592E"/>
    <w:rsid w:val="00CE16FB"/>
    <w:rsid w:val="00CF2C56"/>
    <w:rsid w:val="00D16B5E"/>
    <w:rsid w:val="00D26E59"/>
    <w:rsid w:val="00D46D3D"/>
    <w:rsid w:val="00D5625E"/>
    <w:rsid w:val="00DC5DC3"/>
    <w:rsid w:val="00DC6F95"/>
    <w:rsid w:val="00DD2BE3"/>
    <w:rsid w:val="00DF0435"/>
    <w:rsid w:val="00E17A14"/>
    <w:rsid w:val="00E25843"/>
    <w:rsid w:val="00E61C9E"/>
    <w:rsid w:val="00E660BB"/>
    <w:rsid w:val="00E779B5"/>
    <w:rsid w:val="00E96861"/>
    <w:rsid w:val="00EB1403"/>
    <w:rsid w:val="00EE371A"/>
    <w:rsid w:val="00F07CBF"/>
    <w:rsid w:val="00F2381A"/>
    <w:rsid w:val="00F312D0"/>
    <w:rsid w:val="00F33A15"/>
    <w:rsid w:val="00F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EC9C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2%20Parere%20preventivo%20per.pdf" TargetMode="External"/><Relationship Id="rId13" Type="http://schemas.openxmlformats.org/officeDocument/2006/relationships/hyperlink" Target="Allegati/PA18-19-20-21%20Piscin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melombardia.consiglio.regione.lombardia.it/NormeLombardia/Accessibile/main.aspx?exp_coll=lr002014100100026&amp;view=showdoc&amp;iddoc=lr002014100100026&amp;selnode=lr002014100100026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http://www.vigilfuoco.it/allegati/PI/RegoleTecnicheXAttivita/COORD_DM_18_03_1996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TUR\Parte%205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16%20Locali%20pubblico%20spettacolo/LOCALI%20PUBBLICO%20SPETTACOLO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Walter\sportello%20unico\Progetto%20PUC\PUC\5%20Procedimenti\Definizioni\Riferimenti%20normativi%20e%20di%20controllo.docx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../../ATECO/Ateco%20Arte_Sport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35</cp:revision>
  <dcterms:created xsi:type="dcterms:W3CDTF">2018-07-28T12:18:00Z</dcterms:created>
  <dcterms:modified xsi:type="dcterms:W3CDTF">2021-05-12T09:02:00Z</dcterms:modified>
</cp:coreProperties>
</file>